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9"/>
        <w:gridCol w:w="4989"/>
      </w:tblGrid>
      <w:tr w:rsidR="000C1F3D">
        <w:tblPrEx>
          <w:tblCellMar>
            <w:top w:w="0" w:type="dxa"/>
            <w:bottom w:w="0" w:type="dxa"/>
          </w:tblCellMar>
        </w:tblPrEx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F3D" w:rsidRDefault="00000000">
            <w:pPr>
              <w:pStyle w:val="Heading11"/>
              <w:widowControl/>
              <w:shd w:val="clear" w:color="auto" w:fill="auto"/>
              <w:spacing w:after="0" w:line="400" w:lineRule="exact"/>
              <w:jc w:val="center"/>
            </w:pPr>
            <w:r>
              <w:rPr>
                <w:sz w:val="28"/>
                <w:szCs w:val="28"/>
              </w:rPr>
              <w:t>Azione climatica</w:t>
            </w:r>
          </w:p>
          <w:p w:rsidR="000C1F3D" w:rsidRDefault="00000000">
            <w:pPr>
              <w:pStyle w:val="Heading11"/>
              <w:widowControl/>
              <w:shd w:val="clear" w:color="auto" w:fill="auto"/>
              <w:spacing w:after="0" w:line="40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GOVERNI DEL MONDO</w:t>
            </w:r>
          </w:p>
        </w:tc>
        <w:tc>
          <w:tcPr>
            <w:tcW w:w="4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F3D" w:rsidRDefault="00000000">
            <w:pPr>
              <w:pStyle w:val="TableContents"/>
              <w:rPr>
                <w:rFonts w:ascii="Liberation Serif" w:hAnsi="Liberation Serif"/>
                <w:sz w:val="4"/>
                <w:szCs w:val="4"/>
              </w:rPr>
            </w:pPr>
            <w:r>
              <w:rPr>
                <w:rFonts w:ascii="Liberation Serif" w:hAnsi="Liberation Serif"/>
                <w:noProof/>
                <w:sz w:val="4"/>
                <w:szCs w:val="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141480</wp:posOffset>
                  </wp:positionH>
                  <wp:positionV relativeFrom="paragraph">
                    <wp:posOffset>65880</wp:posOffset>
                  </wp:positionV>
                  <wp:extent cx="2815560" cy="786240"/>
                  <wp:effectExtent l="0" t="0" r="3840" b="1160"/>
                  <wp:wrapSquare wrapText="bothSides"/>
                  <wp:docPr id="337781667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560" cy="78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C1F3D" w:rsidRDefault="000C1F3D">
            <w:pPr>
              <w:pStyle w:val="TableContents"/>
              <w:rPr>
                <w:rFonts w:ascii="Liberation Serif" w:hAnsi="Liberation Serif"/>
                <w:sz w:val="4"/>
                <w:szCs w:val="4"/>
              </w:rPr>
            </w:pPr>
          </w:p>
          <w:p w:rsidR="000C1F3D" w:rsidRDefault="000C1F3D">
            <w:pPr>
              <w:pStyle w:val="TableContents"/>
              <w:rPr>
                <w:rFonts w:ascii="Liberation Serif" w:hAnsi="Liberation Serif"/>
                <w:sz w:val="4"/>
                <w:szCs w:val="4"/>
              </w:rPr>
            </w:pPr>
          </w:p>
        </w:tc>
      </w:tr>
    </w:tbl>
    <w:p w:rsidR="000C1F3D" w:rsidRDefault="000C1F3D">
      <w:pPr>
        <w:pStyle w:val="Bodytext3"/>
        <w:widowControl/>
        <w:pBdr>
          <w:top w:val="single" w:sz="4" w:space="1" w:color="000000"/>
        </w:pBdr>
        <w:shd w:val="clear" w:color="auto" w:fill="auto"/>
        <w:tabs>
          <w:tab w:val="left" w:pos="1429"/>
        </w:tabs>
        <w:spacing w:before="0" w:line="240" w:lineRule="auto"/>
        <w:rPr>
          <w:rFonts w:ascii="Arial" w:hAnsi="Arial"/>
        </w:rPr>
      </w:pPr>
    </w:p>
    <w:p w:rsidR="000C1F3D" w:rsidRDefault="00000000">
      <w:pPr>
        <w:pStyle w:val="Bodytext3"/>
        <w:widowControl/>
        <w:pBdr>
          <w:top w:val="single" w:sz="4" w:space="1" w:color="000000"/>
        </w:pBdr>
        <w:shd w:val="clear" w:color="auto" w:fill="auto"/>
        <w:tabs>
          <w:tab w:val="left" w:pos="1429"/>
        </w:tabs>
        <w:spacing w:before="0" w:line="240" w:lineRule="auto"/>
        <w:jc w:val="center"/>
      </w:pPr>
      <w:r>
        <w:rPr>
          <w:rFonts w:ascii="Arial" w:hAnsi="Arial"/>
          <w:sz w:val="26"/>
        </w:rPr>
        <w:t xml:space="preserve">Ai Capi negoziatori per il gruppo </w:t>
      </w:r>
      <w:r>
        <w:rPr>
          <w:rFonts w:ascii="Arial" w:hAnsi="Arial"/>
          <w:sz w:val="26"/>
          <w:u w:val="single"/>
        </w:rPr>
        <w:t>GOVERNI DEL MONDO</w:t>
      </w:r>
    </w:p>
    <w:p w:rsidR="000C1F3D" w:rsidRDefault="00000000">
      <w:pPr>
        <w:pStyle w:val="Bodytext3"/>
        <w:widowControl/>
        <w:shd w:val="clear" w:color="auto" w:fill="auto"/>
        <w:tabs>
          <w:tab w:val="left" w:pos="1429"/>
        </w:tabs>
        <w:spacing w:before="0" w:after="120"/>
        <w:jc w:val="center"/>
      </w:pPr>
      <w:r>
        <w:rPr>
          <w:rFonts w:ascii="Arial" w:hAnsi="Arial"/>
          <w:sz w:val="26"/>
        </w:rPr>
        <w:t xml:space="preserve">Preparazione del </w:t>
      </w:r>
      <w:r>
        <w:rPr>
          <w:rFonts w:ascii="Arial" w:hAnsi="Arial"/>
          <w:sz w:val="26"/>
          <w:u w:val="single"/>
        </w:rPr>
        <w:t>Vertice internazionale di Azione per il Clima</w:t>
      </w:r>
    </w:p>
    <w:p w:rsidR="000C1F3D" w:rsidRDefault="00000000">
      <w:pPr>
        <w:widowControl/>
        <w:spacing w:after="120" w:line="266" w:lineRule="exact"/>
        <w:jc w:val="both"/>
      </w:pPr>
      <w:r>
        <w:rPr>
          <w:rFonts w:ascii="Arial" w:hAnsi="Arial"/>
          <w:sz w:val="22"/>
          <w:szCs w:val="22"/>
        </w:rPr>
        <w:t xml:space="preserve">Delegati, benvenuti al </w:t>
      </w:r>
      <w:r>
        <w:rPr>
          <w:rFonts w:ascii="Arial" w:hAnsi="Arial"/>
          <w:b/>
          <w:bCs/>
          <w:sz w:val="22"/>
          <w:szCs w:val="22"/>
        </w:rPr>
        <w:t xml:space="preserve">Vertice </w:t>
      </w:r>
      <w:r>
        <w:rPr>
          <w:rFonts w:ascii="Arial" w:hAnsi="Arial"/>
          <w:b/>
          <w:bCs/>
          <w:color w:val="000000"/>
          <w:sz w:val="22"/>
          <w:szCs w:val="22"/>
        </w:rPr>
        <w:t>internazionale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color w:val="000000"/>
          <w:sz w:val="22"/>
          <w:szCs w:val="22"/>
        </w:rPr>
        <w:t>di Azione</w:t>
      </w:r>
      <w:r>
        <w:rPr>
          <w:rFonts w:ascii="Arial" w:hAnsi="Arial"/>
          <w:b/>
          <w:bCs/>
          <w:sz w:val="22"/>
          <w:szCs w:val="22"/>
        </w:rPr>
        <w:t xml:space="preserve"> per il Clima!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C</w:t>
      </w:r>
      <w:r>
        <w:rPr>
          <w:rFonts w:ascii="Arial" w:hAnsi="Arial"/>
          <w:sz w:val="22"/>
          <w:szCs w:val="22"/>
        </w:rPr>
        <w:t>api negoziatori e principali leader, insieme ai rappresentanti di tutt</w:t>
      </w:r>
      <w:r>
        <w:rPr>
          <w:rFonts w:ascii="Arial" w:hAnsi="Arial"/>
          <w:color w:val="000000"/>
          <w:sz w:val="22"/>
          <w:szCs w:val="22"/>
        </w:rPr>
        <w:t xml:space="preserve">i gli altri settori, abbiamo </w:t>
      </w:r>
      <w:r>
        <w:rPr>
          <w:rFonts w:ascii="Arial" w:hAnsi="Arial"/>
          <w:sz w:val="22"/>
          <w:szCs w:val="22"/>
        </w:rPr>
        <w:t>ricevuto dal Segretario generale del</w:t>
      </w:r>
      <w:r>
        <w:rPr>
          <w:rFonts w:ascii="Arial" w:hAnsi="Arial"/>
          <w:color w:val="000000"/>
          <w:sz w:val="22"/>
          <w:szCs w:val="22"/>
        </w:rPr>
        <w:t>l’ONU</w:t>
      </w:r>
      <w:r>
        <w:rPr>
          <w:rFonts w:ascii="Arial" w:hAnsi="Arial"/>
          <w:sz w:val="22"/>
          <w:szCs w:val="22"/>
        </w:rPr>
        <w:t xml:space="preserve"> l'invito a collaborare per trovare soluzioni all’emergenza del riscaldamento globale.</w:t>
      </w:r>
    </w:p>
    <w:p w:rsidR="000C1F3D" w:rsidRDefault="00000000">
      <w:pPr>
        <w:widowControl/>
        <w:spacing w:after="120" w:line="266" w:lineRule="exact"/>
        <w:jc w:val="both"/>
      </w:pPr>
      <w:r>
        <w:rPr>
          <w:rFonts w:ascii="Arial" w:hAnsi="Arial"/>
          <w:color w:val="000000"/>
          <w:sz w:val="22"/>
          <w:szCs w:val="22"/>
        </w:rPr>
        <w:t>Il</w:t>
      </w:r>
      <w:r>
        <w:rPr>
          <w:rFonts w:ascii="Arial" w:hAnsi="Arial"/>
          <w:sz w:val="22"/>
          <w:szCs w:val="22"/>
        </w:rPr>
        <w:t xml:space="preserve"> Segretario generale </w:t>
      </w:r>
      <w:r>
        <w:rPr>
          <w:rStyle w:val="Bodytext20"/>
          <w:rFonts w:ascii="Arial" w:hAnsi="Arial"/>
        </w:rPr>
        <w:t>ci ha da sempre interpellati con parole chiare</w:t>
      </w:r>
      <w:r>
        <w:rPr>
          <w:rFonts w:ascii="Arial" w:hAnsi="Arial"/>
          <w:sz w:val="22"/>
          <w:szCs w:val="22"/>
        </w:rPr>
        <w:t>: "</w:t>
      </w:r>
      <w:r>
        <w:rPr>
          <w:rFonts w:ascii="Arial" w:hAnsi="Arial"/>
          <w:i/>
          <w:iCs/>
          <w:sz w:val="22"/>
          <w:szCs w:val="22"/>
        </w:rPr>
        <w:t xml:space="preserve">Quella dell'emergenza climatica è una gara che stiamo perdendo, ma che possiamo ancora vincere. (…) La ricerca scientifica più qualificata ci dice che qualsiasi aumento di temperatura superiore a 1,5°C provocherà danni gravi e potenzialmente irreversibili agli ecosistemi che ci sostengono. La scienza ci dice anche che non è troppo tardi. </w:t>
      </w:r>
      <w:r>
        <w:rPr>
          <w:rFonts w:ascii="Arial" w:hAnsi="Arial"/>
          <w:i/>
          <w:iCs/>
          <w:color w:val="000000"/>
          <w:sz w:val="22"/>
          <w:szCs w:val="22"/>
        </w:rPr>
        <w:t xml:space="preserve">Abbiamo ancora un margine di azione. (...) </w:t>
      </w:r>
      <w:r>
        <w:rPr>
          <w:rFonts w:ascii="Arial" w:hAnsi="Arial"/>
          <w:i/>
          <w:iCs/>
          <w:sz w:val="22"/>
          <w:szCs w:val="22"/>
        </w:rPr>
        <w:t xml:space="preserve">Ma per vincere servono cambiamenti </w:t>
      </w:r>
      <w:r>
        <w:rPr>
          <w:rFonts w:ascii="Arial" w:hAnsi="Arial"/>
          <w:i/>
          <w:iCs/>
          <w:color w:val="000000"/>
          <w:sz w:val="22"/>
          <w:szCs w:val="22"/>
        </w:rPr>
        <w:t>strutturali</w:t>
      </w:r>
      <w:r>
        <w:rPr>
          <w:rFonts w:ascii="Arial" w:hAnsi="Arial"/>
          <w:i/>
          <w:iCs/>
          <w:sz w:val="22"/>
          <w:szCs w:val="22"/>
        </w:rPr>
        <w:t xml:space="preserve"> in tutti gli aspetti delle nostre società: come </w:t>
      </w:r>
      <w:r>
        <w:rPr>
          <w:rFonts w:ascii="Arial" w:hAnsi="Arial"/>
          <w:i/>
          <w:iCs/>
          <w:color w:val="000000"/>
          <w:sz w:val="22"/>
          <w:szCs w:val="22"/>
        </w:rPr>
        <w:t>coltiviamo, come produciamo</w:t>
      </w:r>
      <w:r>
        <w:rPr>
          <w:rFonts w:ascii="Arial" w:hAnsi="Arial"/>
          <w:i/>
          <w:iCs/>
          <w:sz w:val="22"/>
          <w:szCs w:val="22"/>
        </w:rPr>
        <w:t xml:space="preserve"> il cibo, come utilizziamo il suolo, quali </w:t>
      </w:r>
      <w:r>
        <w:rPr>
          <w:rFonts w:ascii="Arial" w:hAnsi="Arial"/>
          <w:i/>
          <w:iCs/>
          <w:color w:val="000000"/>
          <w:sz w:val="22"/>
          <w:szCs w:val="22"/>
        </w:rPr>
        <w:t xml:space="preserve">fonti energetiche </w:t>
      </w:r>
      <w:r>
        <w:rPr>
          <w:rFonts w:ascii="Arial" w:hAnsi="Arial"/>
          <w:i/>
          <w:iCs/>
          <w:sz w:val="22"/>
          <w:szCs w:val="22"/>
        </w:rPr>
        <w:t xml:space="preserve">alimentano le nostre economie... Se </w:t>
      </w:r>
      <w:r>
        <w:rPr>
          <w:rFonts w:ascii="Arial" w:hAnsi="Arial"/>
          <w:i/>
          <w:iCs/>
          <w:color w:val="000000"/>
          <w:sz w:val="22"/>
          <w:szCs w:val="22"/>
        </w:rPr>
        <w:t>agiamo</w:t>
      </w:r>
      <w:r>
        <w:rPr>
          <w:rFonts w:ascii="Arial" w:hAnsi="Arial"/>
          <w:i/>
          <w:iCs/>
          <w:sz w:val="22"/>
          <w:szCs w:val="22"/>
        </w:rPr>
        <w:t xml:space="preserve"> insieme, le risposte saranno per un mondo più prospero e giusto.”</w:t>
      </w:r>
    </w:p>
    <w:p w:rsidR="000C1F3D" w:rsidRDefault="00000000">
      <w:pPr>
        <w:widowControl/>
        <w:spacing w:after="120" w:line="266" w:lineRule="exact"/>
        <w:jc w:val="both"/>
      </w:pPr>
      <w:r>
        <w:rPr>
          <w:rFonts w:ascii="Arial" w:hAnsi="Arial"/>
          <w:sz w:val="22"/>
          <w:szCs w:val="22"/>
        </w:rPr>
        <w:t xml:space="preserve">Scopo del vertice di oggi è elaborare </w:t>
      </w:r>
      <w:r>
        <w:rPr>
          <w:rFonts w:ascii="Arial" w:hAnsi="Arial"/>
          <w:color w:val="000000"/>
          <w:sz w:val="22"/>
          <w:szCs w:val="22"/>
        </w:rPr>
        <w:t>un</w:t>
      </w:r>
      <w:r>
        <w:rPr>
          <w:rFonts w:ascii="Arial" w:hAnsi="Arial"/>
          <w:sz w:val="22"/>
          <w:szCs w:val="22"/>
        </w:rPr>
        <w:t xml:space="preserve"> piano per limitare il riscaldamento globale a meno di + 2ºC e puntare a contenere tale aumento a +1,5ºC al di sopra dei livelli preindustriali, rispettando quindi gli obiettivi formalmente sanciti a livello internazionale dall'Accordo di Parigi sul Clima. La scienza è </w:t>
      </w:r>
      <w:r>
        <w:rPr>
          <w:rFonts w:ascii="Arial" w:hAnsi="Arial"/>
          <w:color w:val="000000"/>
          <w:sz w:val="22"/>
          <w:szCs w:val="22"/>
        </w:rPr>
        <w:t>chiara</w:t>
      </w:r>
      <w:r>
        <w:rPr>
          <w:rFonts w:ascii="Arial" w:hAnsi="Arial"/>
          <w:sz w:val="22"/>
          <w:szCs w:val="22"/>
        </w:rPr>
        <w:t xml:space="preserve">: un riscaldamento superiore a questi limiti </w:t>
      </w:r>
      <w:r>
        <w:rPr>
          <w:rFonts w:ascii="Arial" w:hAnsi="Arial"/>
          <w:color w:val="000000"/>
          <w:sz w:val="22"/>
          <w:szCs w:val="22"/>
        </w:rPr>
        <w:t>potrà avere</w:t>
      </w:r>
      <w:r>
        <w:rPr>
          <w:rFonts w:ascii="Arial" w:hAnsi="Arial"/>
          <w:sz w:val="22"/>
          <w:szCs w:val="22"/>
        </w:rPr>
        <w:t xml:space="preserve"> effetti catastrofici e irreversibili che metteranno a rischio la salute, la prosperità e la vita stessa delle persone in tutti i paesi del mondo.</w:t>
      </w:r>
    </w:p>
    <w:p w:rsidR="000C1F3D" w:rsidRDefault="00000000">
      <w:pPr>
        <w:widowControl/>
        <w:spacing w:after="120" w:line="266" w:lineRule="exact"/>
        <w:jc w:val="both"/>
      </w:pPr>
      <w:r>
        <w:rPr>
          <w:rFonts w:ascii="Arial" w:hAnsi="Arial"/>
          <w:color w:val="000000"/>
          <w:sz w:val="22"/>
          <w:szCs w:val="22"/>
        </w:rPr>
        <w:t>Il nostro</w:t>
      </w:r>
      <w:r>
        <w:rPr>
          <w:rFonts w:ascii="Arial" w:hAnsi="Arial"/>
          <w:sz w:val="22"/>
          <w:szCs w:val="22"/>
        </w:rPr>
        <w:t xml:space="preserve"> gruppo </w:t>
      </w:r>
      <w:r>
        <w:rPr>
          <w:rFonts w:ascii="Arial" w:hAnsi="Arial"/>
          <w:color w:val="000000"/>
          <w:sz w:val="22"/>
          <w:szCs w:val="22"/>
        </w:rPr>
        <w:t>include la voce pubblica combinata dei popoli del mondo, i ministeri delle nazioni più inquinatrici - USA, EU, Cina e India - e rappresentanti da altre regioni in via di sviluppo del mondo, come le nazioni in Africa, Asia, Sud America e Oceania. Ci sono anche rappresentative da gruppi governativi internazionali come le Nazioni Unite. Questa alleanza è interessata a preservare in questo secolo di grandi transizioni il benessere economico e la stabilità geopolitica di tutte le nazioni del mondo.</w:t>
      </w:r>
    </w:p>
    <w:p w:rsidR="000C1F3D" w:rsidRDefault="00000000">
      <w:pPr>
        <w:widowControl/>
        <w:spacing w:after="120" w:line="266" w:lineRule="exact"/>
        <w:jc w:val="both"/>
      </w:pPr>
      <w:r>
        <w:rPr>
          <w:rFonts w:ascii="Arial" w:hAnsi="Arial"/>
          <w:color w:val="000000"/>
          <w:sz w:val="22"/>
          <w:szCs w:val="22"/>
        </w:rPr>
        <w:t xml:space="preserve">Di seguito </w:t>
      </w:r>
      <w:r>
        <w:rPr>
          <w:rFonts w:ascii="Arial" w:hAnsi="Arial"/>
          <w:sz w:val="22"/>
          <w:szCs w:val="22"/>
        </w:rPr>
        <w:t xml:space="preserve">sono elencate le </w:t>
      </w:r>
      <w:r>
        <w:rPr>
          <w:rFonts w:ascii="Arial" w:hAnsi="Arial"/>
          <w:color w:val="000000"/>
          <w:sz w:val="22"/>
          <w:szCs w:val="22"/>
        </w:rPr>
        <w:t>nostre</w:t>
      </w:r>
      <w:r>
        <w:rPr>
          <w:rFonts w:ascii="Arial" w:hAnsi="Arial"/>
          <w:sz w:val="22"/>
          <w:szCs w:val="22"/>
        </w:rPr>
        <w:t xml:space="preserve"> priorità politiche. </w:t>
      </w:r>
      <w:r>
        <w:rPr>
          <w:rFonts w:ascii="Arial" w:hAnsi="Arial"/>
          <w:color w:val="000000"/>
          <w:sz w:val="22"/>
          <w:szCs w:val="22"/>
        </w:rPr>
        <w:t>Abbiamo comunque</w:t>
      </w:r>
      <w:r>
        <w:rPr>
          <w:rFonts w:ascii="Arial" w:hAnsi="Arial"/>
          <w:sz w:val="22"/>
          <w:szCs w:val="22"/>
        </w:rPr>
        <w:t xml:space="preserve"> la </w:t>
      </w:r>
      <w:r>
        <w:rPr>
          <w:rFonts w:ascii="Arial" w:hAnsi="Arial"/>
          <w:color w:val="000000"/>
          <w:sz w:val="22"/>
          <w:szCs w:val="22"/>
        </w:rPr>
        <w:t>facoltà</w:t>
      </w:r>
      <w:r>
        <w:rPr>
          <w:rFonts w:ascii="Arial" w:hAnsi="Arial"/>
          <w:sz w:val="22"/>
          <w:szCs w:val="22"/>
        </w:rPr>
        <w:t xml:space="preserve"> di proporre o di bloccare qualunque politica </w:t>
      </w:r>
      <w:r>
        <w:rPr>
          <w:rFonts w:ascii="Arial" w:hAnsi="Arial"/>
          <w:color w:val="000000"/>
          <w:sz w:val="22"/>
          <w:szCs w:val="22"/>
        </w:rPr>
        <w:t>disponibile</w:t>
      </w:r>
      <w:r>
        <w:rPr>
          <w:rFonts w:ascii="Arial" w:hAnsi="Arial"/>
          <w:sz w:val="22"/>
          <w:szCs w:val="22"/>
        </w:rPr>
        <w:t>.</w:t>
      </w:r>
    </w:p>
    <w:p w:rsidR="000C1F3D" w:rsidRDefault="00000000" w:rsidP="00471756">
      <w:pPr>
        <w:widowControl/>
        <w:tabs>
          <w:tab w:val="left" w:pos="366"/>
        </w:tabs>
        <w:spacing w:before="240" w:after="120" w:line="266" w:lineRule="exact"/>
        <w:jc w:val="both"/>
      </w:pPr>
      <w:r>
        <w:rPr>
          <w:rStyle w:val="Bodytext2Bold"/>
          <w:rFonts w:ascii="Arial" w:hAnsi="Arial"/>
        </w:rPr>
        <w:t xml:space="preserve">1. </w:t>
      </w:r>
      <w:r>
        <w:rPr>
          <w:rStyle w:val="Bodytext20"/>
          <w:rFonts w:ascii="Arial" w:hAnsi="Arial"/>
          <w:b/>
          <w:bCs/>
        </w:rPr>
        <w:t>Sovvenzionare le energie rinnovabili (ad es. l'energia solare, eolica, geotermica, idroelettrica e lo stoccaggio di energia)</w:t>
      </w:r>
      <w:r>
        <w:rPr>
          <w:rStyle w:val="Bodytext20"/>
          <w:rFonts w:ascii="Arial" w:hAnsi="Arial"/>
        </w:rPr>
        <w:t>. Il settore delle energie rinnovabili sta crescendo rapidamente (per i costi sempre più convenienti) ma rappresenta attualmente solo una piccola frazione del mix energetico mondiale. I sussidi aiuteranno queste industrie ad espandersi. Lo stoccaggio (es. batterie, accumulo termico, pompaggio idroelettrico) e le tecnologie per reti elettriche intelligenti permettono di integrare le fonti intermittenti come l'eolico e il solare nel sistema energetico, garantendo al tempo stesso una fornitura continua di elettricità.</w:t>
      </w:r>
    </w:p>
    <w:p w:rsidR="000C1F3D" w:rsidRDefault="00000000">
      <w:pPr>
        <w:widowControl/>
        <w:tabs>
          <w:tab w:val="left" w:pos="461"/>
        </w:tabs>
        <w:spacing w:after="119" w:line="266" w:lineRule="exact"/>
        <w:jc w:val="both"/>
      </w:pPr>
      <w:r>
        <w:rPr>
          <w:rStyle w:val="Bodytext2Bold"/>
          <w:rFonts w:ascii="Arial" w:hAnsi="Arial"/>
        </w:rPr>
        <w:t xml:space="preserve">2. Valutare la possibilità di tassare i combustibili fossili o di istituire un prezzo del carbonio.     </w:t>
      </w:r>
      <w:r>
        <w:rPr>
          <w:rStyle w:val="Bodytext2Bold"/>
          <w:rFonts w:ascii="Arial" w:hAnsi="Arial"/>
          <w:b w:val="0"/>
          <w:bCs w:val="0"/>
        </w:rPr>
        <w:t>Il mondo deve realizzare la transizione energetica allontanandosi dai combustibili fossili per limitare le emissioni di gas serra, ma attualmente una grande parte dell’energia del mondo è ancora fornita dai combustibili fossili! Sarà costoso e difficile trasformare l’infrastruttura energetica del mondo. Gli attuali prezzi di mercato non includono i costi ambientali e sociali causati dalle fonti fossili (le loro esternalità negative). Ancora più grave, i governi nel mondo provvedono a finanziare l’industria dei combustibili fossili con sussidi di centinaia di miliardi all’anno (Nel 2022: 1.260 miliardi di $, 7.000 miliardi di $ se si considerano anche i danni ambientali e le entrate fiscali perse - FMI. Nel 2023: almeno 620 miliardi di $ - IEA). Gli economisti concordano che agire sul prezzo del carbonio è il modo migliore per ridurre le emissioni globali di gas a effetto serra. Si valuti la possibilità di istituire un prezzo del carbonio, magari introducendolo gradualmente affinché le industrie e i consumatori possano adattarsi. Le entrate così generate potrebbero essere rimborsate ai cittadini come compensazione oppure contribuire a sostenere i costi di altre politiche o ridurre i deficit fiscali. Tuttavia, non possiamo permetterci di muoverci troppo rapidamente. Un prezzo del carbonio aumenterebbe il costo dell’energia in tempi brevi e questo potrebbe essere un problema per le popolazioni dei paesi in via di sviluppo.</w:t>
      </w:r>
    </w:p>
    <w:p w:rsidR="000C1F3D" w:rsidRDefault="000C1F3D">
      <w:pPr>
        <w:widowControl/>
        <w:tabs>
          <w:tab w:val="left" w:pos="461"/>
        </w:tabs>
        <w:spacing w:after="119" w:line="266" w:lineRule="exact"/>
        <w:jc w:val="both"/>
      </w:pPr>
    </w:p>
    <w:p w:rsidR="000C1F3D" w:rsidRDefault="00000000">
      <w:pPr>
        <w:widowControl/>
        <w:tabs>
          <w:tab w:val="left" w:pos="461"/>
        </w:tabs>
        <w:spacing w:after="119" w:line="266" w:lineRule="exact"/>
        <w:jc w:val="both"/>
      </w:pPr>
      <w:r>
        <w:rPr>
          <w:rStyle w:val="Bodytext2Bold"/>
          <w:rFonts w:ascii="Arial" w:hAnsi="Arial"/>
          <w:b w:val="0"/>
          <w:bCs w:val="0"/>
        </w:rPr>
        <w:lastRenderedPageBreak/>
        <w:t>Un prezzo del carbonio potrebbe anche portare capitali e stimolare l’innovazione nelle industrie dell’energia rinnovabile. Molte delle nazioni stanno ancora costruendo nuove miniere di carbone e nuove centrali elettriche a carbone, sebbene quest'ultimo sia il combustibile a più alta intensità di carbonio e sia anche responsabile di gran parte dell'inquinamento atmosferico che nuoce attualmente a milioni di persone delle nostre nazioni. Tassare, regolamentare o addirittura eliminare gradualmente il carbone potrebbe far diminuire rapidamente le emissioni, ridurre il tasso di inquinamento atmosferico e migliorare la salute pubblica.</w:t>
      </w:r>
    </w:p>
    <w:p w:rsidR="000C1F3D" w:rsidRDefault="00000000">
      <w:pPr>
        <w:widowControl/>
        <w:tabs>
          <w:tab w:val="left" w:pos="461"/>
        </w:tabs>
        <w:spacing w:after="119" w:line="266" w:lineRule="exact"/>
        <w:jc w:val="both"/>
      </w:pPr>
      <w:r>
        <w:rPr>
          <w:rStyle w:val="Bodytext2Bold"/>
          <w:rFonts w:ascii="Arial" w:hAnsi="Arial"/>
        </w:rPr>
        <w:t>3. Ridurre le emissioni di metano, protossido di azoto e altri gas a effetto serra</w:t>
      </w:r>
      <w:r>
        <w:rPr>
          <w:rStyle w:val="Bodytext2Bold"/>
          <w:rFonts w:ascii="Arial" w:hAnsi="Arial"/>
          <w:b w:val="0"/>
          <w:bCs w:val="0"/>
        </w:rPr>
        <w:t>. Il diossido di carbonio (CO</w:t>
      </w:r>
      <w:r>
        <w:rPr>
          <w:rStyle w:val="Bodytext2Bold"/>
          <w:rFonts w:ascii="Arial" w:hAnsi="Arial"/>
          <w:b w:val="0"/>
          <w:bCs w:val="0"/>
          <w:vertAlign w:val="subscript"/>
        </w:rPr>
        <w:t>2</w:t>
      </w:r>
      <w:r>
        <w:rPr>
          <w:rStyle w:val="Bodytext2Bold"/>
          <w:rFonts w:ascii="Arial" w:hAnsi="Arial"/>
          <w:b w:val="0"/>
          <w:bCs w:val="0"/>
        </w:rPr>
        <w:t xml:space="preserve">) </w:t>
      </w:r>
      <w:r>
        <w:rPr>
          <w:rStyle w:val="Bodytext3NotBold"/>
          <w:rFonts w:ascii="Arial" w:hAnsi="Arial"/>
          <w:b w:val="0"/>
          <w:bCs w:val="0"/>
        </w:rPr>
        <w:t>è</w:t>
      </w:r>
      <w:r>
        <w:rPr>
          <w:rStyle w:val="Bodytext2Bold"/>
          <w:rFonts w:ascii="Arial" w:hAnsi="Arial"/>
          <w:b w:val="0"/>
          <w:bCs w:val="0"/>
        </w:rPr>
        <w:t xml:space="preserve"> il principale gas a effetto serra, ma gli altri gas serra sono attualmente responsabili di circa un quarto delle emissioni totali. Questi includono il metano (CH</w:t>
      </w:r>
      <w:r>
        <w:rPr>
          <w:rStyle w:val="Bodytext2Bold"/>
          <w:rFonts w:ascii="Arial" w:hAnsi="Arial"/>
          <w:b w:val="0"/>
          <w:bCs w:val="0"/>
          <w:vertAlign w:val="subscript"/>
        </w:rPr>
        <w:t>4</w:t>
      </w:r>
      <w:r>
        <w:rPr>
          <w:rStyle w:val="Bodytext2Bold"/>
          <w:rFonts w:ascii="Arial" w:hAnsi="Arial"/>
          <w:b w:val="0"/>
          <w:bCs w:val="0"/>
        </w:rPr>
        <w:t>) e il protossido di azoto (N</w:t>
      </w:r>
      <w:r>
        <w:rPr>
          <w:rStyle w:val="Bodytext2Bold"/>
          <w:rFonts w:ascii="Arial" w:hAnsi="Arial"/>
          <w:b w:val="0"/>
          <w:bCs w:val="0"/>
          <w:vertAlign w:val="subscript"/>
        </w:rPr>
        <w:t>2</w:t>
      </w:r>
      <w:r>
        <w:rPr>
          <w:rStyle w:val="Bodytext2Bold"/>
          <w:rFonts w:ascii="Arial" w:hAnsi="Arial"/>
          <w:b w:val="0"/>
          <w:bCs w:val="0"/>
        </w:rPr>
        <w:t>O) e una vasta serie di clorofluorocarburi e altri composti fluorurati (CFC). Considerando l’effetto serra di una singola molecola, nel corso del prossimo secolo molti dei gas diversi dal CO</w:t>
      </w:r>
      <w:r>
        <w:rPr>
          <w:rStyle w:val="Bodytext2Bold"/>
          <w:rFonts w:ascii="Arial" w:hAnsi="Arial"/>
          <w:b w:val="0"/>
          <w:bCs w:val="0"/>
          <w:vertAlign w:val="subscript"/>
        </w:rPr>
        <w:t>2</w:t>
      </w:r>
      <w:r>
        <w:rPr>
          <w:rStyle w:val="Bodytext2Bold"/>
          <w:rFonts w:ascii="Arial" w:hAnsi="Arial"/>
          <w:b w:val="0"/>
          <w:bCs w:val="0"/>
        </w:rPr>
        <w:t xml:space="preserve"> contribuiranno al riscaldamento globale in misura dieci, cento o persino mille volte superiore rispetto alla CO</w:t>
      </w:r>
      <w:r>
        <w:rPr>
          <w:rStyle w:val="Bodytext2Bold"/>
          <w:rFonts w:ascii="Arial" w:hAnsi="Arial"/>
          <w:b w:val="0"/>
          <w:bCs w:val="0"/>
          <w:vertAlign w:val="subscript"/>
        </w:rPr>
        <w:t>2</w:t>
      </w:r>
      <w:r>
        <w:rPr>
          <w:rStyle w:val="Bodytext2Bold"/>
          <w:rFonts w:ascii="Arial" w:hAnsi="Arial"/>
          <w:b w:val="0"/>
          <w:bCs w:val="0"/>
        </w:rPr>
        <w:t>. Benché siano presenti in basse concentrazioni, questi gas sono in rapido aumento. Agire quindi su Altre Fonti di Gas Serra (Emissioni dall’agricoltura e Rifiuti e perdite).</w:t>
      </w:r>
    </w:p>
    <w:p w:rsidR="000C1F3D" w:rsidRDefault="00000000">
      <w:pPr>
        <w:widowControl/>
        <w:tabs>
          <w:tab w:val="left" w:pos="366"/>
        </w:tabs>
        <w:spacing w:after="119" w:line="266" w:lineRule="exact"/>
        <w:jc w:val="both"/>
      </w:pPr>
      <w:r>
        <w:rPr>
          <w:rStyle w:val="Bodytext2Bold"/>
          <w:rFonts w:ascii="Arial" w:hAnsi="Arial"/>
        </w:rPr>
        <w:t xml:space="preserve">4. Ridurre la deforestazione. </w:t>
      </w:r>
      <w:r>
        <w:rPr>
          <w:rStyle w:val="Bodytext2Bold"/>
          <w:rFonts w:ascii="Arial" w:hAnsi="Arial"/>
          <w:b w:val="0"/>
          <w:bCs w:val="0"/>
        </w:rPr>
        <w:t>La deforestazione globale si presenta maggiormente nelle foreste tropicali di alcune nazioni come quelle nel Bacino Amazzonico, in Cina, India e Indonesia. La protezione delle foreste può ridurre le emissioni, preservando al tempo stesso la biodiversità e l'approvvigionamento idrico. Tuttavia limitare la deforestazione riduce anche l’utilizzo potenziale di questi territori per la produzione di legname, la produzione di cibo e altri usi fondamentali.</w:t>
      </w:r>
    </w:p>
    <w:p w:rsidR="000C1F3D" w:rsidRDefault="00000000">
      <w:pPr>
        <w:widowControl/>
        <w:tabs>
          <w:tab w:val="left" w:pos="461"/>
        </w:tabs>
        <w:spacing w:after="119" w:line="266" w:lineRule="exact"/>
        <w:jc w:val="both"/>
      </w:pPr>
      <w:r>
        <w:rPr>
          <w:rFonts w:ascii="Arial" w:hAnsi="Arial"/>
          <w:b/>
          <w:bCs/>
          <w:sz w:val="22"/>
          <w:szCs w:val="22"/>
        </w:rPr>
        <w:t xml:space="preserve">5. </w:t>
      </w:r>
      <w:r>
        <w:rPr>
          <w:rStyle w:val="Bodytext2Bold"/>
          <w:rFonts w:ascii="Arial" w:hAnsi="Arial"/>
        </w:rPr>
        <w:t>Considerare l’</w:t>
      </w:r>
      <w:proofErr w:type="spellStart"/>
      <w:r>
        <w:rPr>
          <w:rStyle w:val="Bodytext2Bold"/>
          <w:rFonts w:ascii="Arial" w:hAnsi="Arial"/>
        </w:rPr>
        <w:t>afforestazione</w:t>
      </w:r>
      <w:proofErr w:type="spellEnd"/>
      <w:r>
        <w:rPr>
          <w:rStyle w:val="Bodytext2Bold"/>
          <w:rFonts w:ascii="Arial" w:hAnsi="Arial"/>
        </w:rPr>
        <w:t xml:space="preserve"> e la riforestazione.</w:t>
      </w:r>
      <w:r>
        <w:rPr>
          <w:rStyle w:val="Bodytext2Bold"/>
          <w:rFonts w:ascii="Arial" w:hAnsi="Arial"/>
          <w:b w:val="0"/>
          <w:bCs w:val="0"/>
        </w:rPr>
        <w:t xml:space="preserve"> L’</w:t>
      </w:r>
      <w:proofErr w:type="spellStart"/>
      <w:r>
        <w:rPr>
          <w:rStyle w:val="Bodytext2Bold"/>
          <w:rFonts w:ascii="Arial" w:hAnsi="Arial"/>
          <w:b w:val="0"/>
          <w:bCs w:val="0"/>
        </w:rPr>
        <w:t>afforestazione</w:t>
      </w:r>
      <w:proofErr w:type="spellEnd"/>
      <w:r>
        <w:rPr>
          <w:rStyle w:val="Bodytext2Bold"/>
          <w:rFonts w:ascii="Arial" w:hAnsi="Arial"/>
          <w:b w:val="0"/>
          <w:bCs w:val="0"/>
        </w:rPr>
        <w:t xml:space="preserve"> è piantare alberi per generare nuove foreste su terreni senza alberi; la riforestazione su terreni dove le foreste sono state nel passato degradate o distrutte. Se realizzata su vasta scala l’</w:t>
      </w:r>
      <w:proofErr w:type="spellStart"/>
      <w:r>
        <w:rPr>
          <w:rStyle w:val="Bodytext2Bold"/>
          <w:rFonts w:ascii="Arial" w:hAnsi="Arial"/>
          <w:b w:val="0"/>
          <w:bCs w:val="0"/>
        </w:rPr>
        <w:t>afforestazione</w:t>
      </w:r>
      <w:proofErr w:type="spellEnd"/>
      <w:r>
        <w:rPr>
          <w:rStyle w:val="Bodytext2Bold"/>
          <w:rFonts w:ascii="Arial" w:hAnsi="Arial"/>
          <w:b w:val="0"/>
          <w:bCs w:val="0"/>
        </w:rPr>
        <w:t xml:space="preserve"> potrebbe coinvolgere terreni necessari per l’agricoltura o l’allevamento, generando l’aumento dei prezzi del cibo. Da valutare inoltre l’estensione del terreno necessaria per qualsiasi politica di </w:t>
      </w:r>
      <w:proofErr w:type="spellStart"/>
      <w:r>
        <w:rPr>
          <w:rStyle w:val="Bodytext2Bold"/>
          <w:rFonts w:ascii="Arial" w:hAnsi="Arial"/>
          <w:b w:val="0"/>
          <w:bCs w:val="0"/>
        </w:rPr>
        <w:t>afforestazione</w:t>
      </w:r>
      <w:proofErr w:type="spellEnd"/>
      <w:r>
        <w:rPr>
          <w:rStyle w:val="Bodytext2Bold"/>
          <w:rFonts w:ascii="Arial" w:hAnsi="Arial"/>
          <w:b w:val="0"/>
          <w:bCs w:val="0"/>
        </w:rPr>
        <w:t xml:space="preserve">. Agire quindi su Rimozioni di Anidride Carbonica (Soluzioni naturali: </w:t>
      </w:r>
      <w:proofErr w:type="spellStart"/>
      <w:r>
        <w:rPr>
          <w:rStyle w:val="Bodytext2Bold"/>
          <w:rFonts w:ascii="Arial" w:hAnsi="Arial"/>
          <w:b w:val="0"/>
          <w:bCs w:val="0"/>
        </w:rPr>
        <w:t>afforestazione</w:t>
      </w:r>
      <w:proofErr w:type="spellEnd"/>
      <w:r>
        <w:rPr>
          <w:rStyle w:val="Bodytext2Bold"/>
          <w:rFonts w:ascii="Arial" w:hAnsi="Arial"/>
          <w:b w:val="0"/>
          <w:bCs w:val="0"/>
        </w:rPr>
        <w:t>/riforestazione).</w:t>
      </w:r>
    </w:p>
    <w:p w:rsidR="000C1F3D" w:rsidRDefault="000C1F3D">
      <w:pPr>
        <w:widowControl/>
        <w:tabs>
          <w:tab w:val="left" w:pos="461"/>
        </w:tabs>
        <w:spacing w:after="119" w:line="266" w:lineRule="exact"/>
        <w:jc w:val="both"/>
      </w:pPr>
    </w:p>
    <w:p w:rsidR="000C1F3D" w:rsidRDefault="00000000">
      <w:pPr>
        <w:pStyle w:val="Bodytext5"/>
        <w:widowControl/>
        <w:shd w:val="clear" w:color="auto" w:fill="auto"/>
        <w:spacing w:before="0" w:line="266" w:lineRule="exact"/>
      </w:pPr>
      <w:r>
        <w:rPr>
          <w:rFonts w:ascii="Arial" w:hAnsi="Arial"/>
        </w:rPr>
        <w:t>Ulteriori considerazioni</w:t>
      </w:r>
    </w:p>
    <w:p w:rsidR="000C1F3D" w:rsidRDefault="00000000">
      <w:pPr>
        <w:widowControl/>
        <w:spacing w:after="120" w:line="266" w:lineRule="exact"/>
        <w:jc w:val="both"/>
      </w:pPr>
      <w:r>
        <w:rPr>
          <w:rFonts w:ascii="Arial" w:hAnsi="Arial"/>
          <w:color w:val="000000"/>
          <w:sz w:val="22"/>
          <w:szCs w:val="22"/>
        </w:rPr>
        <w:t>Riconosciamo che il riscaldamento globale è reale, che è causato primariamente dalla combustione dei combustibili fossili e che pone gravi rischi alle popolazioni del mondo intero. I cambiamenti climatici costituiscono un moltiplicatore di serie minacce che può minare la vostra sicurezza nazionale, dato che i danni da riscaldamento globale portano progressivamente a maggiori conflitti e migrazioni.</w:t>
      </w:r>
    </w:p>
    <w:p w:rsidR="000C1F3D" w:rsidRDefault="00000000">
      <w:pPr>
        <w:widowControl/>
        <w:spacing w:after="120" w:line="266" w:lineRule="exact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La popolazione globale è giunta a 8 miliardi di persone (novembre 2023) e secondo le proiezioni dell’ONU raggiungerà più di 9 miliardi nel 2050 e quasi 11 miliardi nel 2100. La maggior parte di questa crescita è prevista nelle nazioni in via di sviluppo, dove redditi e consumi sono bassi ma si prevede cresceranno rapidamente.</w:t>
      </w:r>
    </w:p>
    <w:p w:rsidR="000C1F3D" w:rsidRDefault="00000000">
      <w:pPr>
        <w:widowControl/>
        <w:spacing w:after="120" w:line="266" w:lineRule="exact"/>
        <w:jc w:val="both"/>
      </w:pPr>
      <w:r>
        <w:rPr>
          <w:rFonts w:ascii="Arial" w:hAnsi="Arial"/>
          <w:color w:val="000000"/>
          <w:sz w:val="22"/>
          <w:szCs w:val="22"/>
        </w:rPr>
        <w:t xml:space="preserve">Povertà, malnutrizione e malattie sono comuni in molte nazioni in via di sviluppo. I governi cercano di sviluppare le loro economie il più rapidamente possibile per fornire servizi sanitari, educativi, sociali ed economici come quelli di cui godono oggi i paesi sviluppati, ma questo sviluppo aumenta l’uso dei fossili combustibili e altre fonti di gas serra. Nel frattempo, quasi un miliardo di persone a livello globale </w:t>
      </w:r>
      <w:proofErr w:type="gramStart"/>
      <w:r>
        <w:rPr>
          <w:rFonts w:ascii="Arial" w:hAnsi="Arial"/>
          <w:color w:val="000000"/>
          <w:sz w:val="22"/>
          <w:szCs w:val="22"/>
        </w:rPr>
        <w:t>sono</w:t>
      </w:r>
      <w:r w:rsidR="00471756"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ancora</w:t>
      </w:r>
      <w:proofErr w:type="gramEnd"/>
      <w:r>
        <w:rPr>
          <w:rFonts w:ascii="Arial" w:hAnsi="Arial"/>
          <w:color w:val="000000"/>
          <w:sz w:val="22"/>
          <w:szCs w:val="22"/>
        </w:rPr>
        <w:t xml:space="preserve"> senza adeguati servizi energetici e fanno affidamento sulla biomassa tradizionale (bruciando legno) per soddisfare i propri bisogni energetici di base, portando al degrado ambientale e alla prematura morte di milioni di persone, specialmente donne e bambini.</w:t>
      </w:r>
    </w:p>
    <w:p w:rsidR="000C1F3D" w:rsidRDefault="00000000">
      <w:pPr>
        <w:widowControl/>
        <w:spacing w:after="120" w:line="266" w:lineRule="exact"/>
        <w:jc w:val="both"/>
      </w:pPr>
      <w:r>
        <w:rPr>
          <w:rFonts w:ascii="Arial" w:hAnsi="Arial"/>
          <w:color w:val="000000"/>
          <w:sz w:val="22"/>
          <w:szCs w:val="22"/>
        </w:rPr>
        <w:t>Molti dei paesi in via di sviluppo sottolineano che le nazioni ricche consumano una quota sproporzionata di</w:t>
      </w:r>
      <w:r w:rsidR="00471756"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risorse globali, hanno le emissioni di gas serra pro capite più elevate e hanno contribuito maggiormente alle emissioni cumulative globali a partire dalla rivoluzione industriale.</w:t>
      </w:r>
    </w:p>
    <w:sectPr w:rsidR="000C1F3D" w:rsidSect="00471756">
      <w:footerReference w:type="default" r:id="rId8"/>
      <w:pgSz w:w="11906" w:h="16838"/>
      <w:pgMar w:top="648" w:right="964" w:bottom="283" w:left="96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3FB1" w:rsidRDefault="00363FB1">
      <w:r>
        <w:separator/>
      </w:r>
    </w:p>
  </w:endnote>
  <w:endnote w:type="continuationSeparator" w:id="0">
    <w:p w:rsidR="00363FB1" w:rsidRDefault="0036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20B0604020202020204"/>
    <w:charset w:val="02"/>
    <w:family w:val="auto"/>
    <w:pitch w:val="default"/>
  </w:font>
  <w:font w:name="Liberation Serif">
    <w:altName w:val="Times New Roman"/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71756" w:rsidRDefault="00471756">
    <w:pPr>
      <w:pStyle w:val="Piedepgina"/>
    </w:pPr>
    <w:r>
      <w:rPr>
        <w:rStyle w:val="il"/>
        <w:rFonts w:ascii="Arial" w:hAnsi="Arial" w:cs="Arial"/>
        <w:i/>
        <w:iCs/>
        <w:sz w:val="16"/>
        <w:szCs w:val="16"/>
        <w:shd w:val="clear" w:color="auto" w:fill="FFFFFF"/>
      </w:rPr>
      <w:t>Elaborato</w:t>
    </w:r>
    <w:r>
      <w:rPr>
        <w:rFonts w:ascii="Arial" w:hAnsi="Arial" w:cs="Arial"/>
        <w:i/>
        <w:iCs/>
        <w:sz w:val="16"/>
        <w:szCs w:val="16"/>
        <w:shd w:val="clear" w:color="auto" w:fill="FFFFFF"/>
      </w:rPr>
      <w:t xml:space="preserve"> da </w:t>
    </w:r>
    <w:proofErr w:type="spellStart"/>
    <w:r>
      <w:rPr>
        <w:rFonts w:ascii="Arial" w:hAnsi="Arial" w:cs="Arial"/>
        <w:i/>
        <w:iCs/>
        <w:sz w:val="16"/>
        <w:szCs w:val="16"/>
        <w:shd w:val="clear" w:color="auto" w:fill="FFFFFF"/>
      </w:rPr>
      <w:t>Climate</w:t>
    </w:r>
    <w:proofErr w:type="spellEnd"/>
    <w:r>
      <w:rPr>
        <w:rFonts w:ascii="Arial" w:hAnsi="Arial" w:cs="Arial"/>
        <w:i/>
        <w:iCs/>
        <w:sz w:val="16"/>
        <w:szCs w:val="16"/>
        <w:shd w:val="clear" w:color="auto" w:fill="FFFFFF"/>
      </w:rPr>
      <w:t xml:space="preserve"> Interactive, Sloan School of Management del MIT), ESB Business School e Iniziativa sui cambiamenti climatici dell'</w:t>
    </w:r>
    <w:proofErr w:type="spellStart"/>
    <w:r>
      <w:rPr>
        <w:rFonts w:ascii="Arial" w:hAnsi="Arial" w:cs="Arial"/>
        <w:i/>
        <w:iCs/>
        <w:sz w:val="16"/>
        <w:szCs w:val="16"/>
        <w:shd w:val="clear" w:color="auto" w:fill="FFFFFF"/>
      </w:rPr>
      <w:t>UMass</w:t>
    </w:r>
    <w:proofErr w:type="spellEnd"/>
    <w:r>
      <w:rPr>
        <w:rFonts w:ascii="Arial" w:hAnsi="Arial" w:cs="Arial"/>
        <w:i/>
        <w:iCs/>
        <w:sz w:val="16"/>
        <w:szCs w:val="16"/>
        <w:shd w:val="clear" w:color="auto" w:fill="FFFFFF"/>
      </w:rPr>
      <w:t xml:space="preserve"> Lowell. </w:t>
    </w:r>
    <w:r>
      <w:rPr>
        <w:rFonts w:ascii="Arial" w:hAnsi="Arial" w:cs="Arial"/>
        <w:b/>
        <w:bCs/>
        <w:i/>
        <w:iCs/>
        <w:sz w:val="16"/>
        <w:szCs w:val="16"/>
        <w:shd w:val="clear" w:color="auto" w:fill="FFFFFF"/>
      </w:rPr>
      <w:t>Ultimo aggiornamento: settembre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3FB1" w:rsidRDefault="00363FB1">
      <w:r>
        <w:rPr>
          <w:color w:val="000000"/>
        </w:rPr>
        <w:separator/>
      </w:r>
    </w:p>
  </w:footnote>
  <w:footnote w:type="continuationSeparator" w:id="0">
    <w:p w:rsidR="00363FB1" w:rsidRDefault="00363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45673"/>
    <w:multiLevelType w:val="multilevel"/>
    <w:tmpl w:val="95C29D82"/>
    <w:styleLink w:val="WWNum1"/>
    <w:lvl w:ilvl="0">
      <w:start w:val="1"/>
      <w:numFmt w:val="decimal"/>
      <w:lvlText w:val="%1."/>
      <w:lvlJc w:val="left"/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en-US" w:eastAsia="en-US" w:bidi="en-US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2246096D"/>
    <w:multiLevelType w:val="multilevel"/>
    <w:tmpl w:val="A148C272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52420399"/>
    <w:multiLevelType w:val="multilevel"/>
    <w:tmpl w:val="80E0B5CC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187564989">
    <w:abstractNumId w:val="1"/>
  </w:num>
  <w:num w:numId="2" w16cid:durableId="2027904595">
    <w:abstractNumId w:val="0"/>
  </w:num>
  <w:num w:numId="3" w16cid:durableId="1937667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C1F3D"/>
    <w:rsid w:val="000C1F3D"/>
    <w:rsid w:val="00363FB1"/>
    <w:rsid w:val="00471756"/>
    <w:rsid w:val="0081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DCE7DE"/>
  <w15:docId w15:val="{36C848AA-A029-3A4D-B9B9-5C2D24B3B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Pr>
      <w:color w:val="00000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 Unicode MS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customStyle="1" w:styleId="Titolo">
    <w:name w:val="Titolo"/>
    <w:basedOn w:val="Standard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Indice">
    <w:name w:val="Indice"/>
    <w:basedOn w:val="Standard"/>
    <w:pPr>
      <w:suppressLineNumbers/>
    </w:pPr>
    <w:rPr>
      <w:rFonts w:cs="Arial Unicode MS"/>
    </w:rPr>
  </w:style>
  <w:style w:type="paragraph" w:customStyle="1" w:styleId="Heading11">
    <w:name w:val="Heading #1|1"/>
    <w:basedOn w:val="Standard"/>
    <w:pPr>
      <w:shd w:val="clear" w:color="auto" w:fill="FFFFFF"/>
      <w:spacing w:after="126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">
    <w:name w:val="Body text|3"/>
    <w:basedOn w:val="Standard"/>
    <w:pPr>
      <w:shd w:val="clear" w:color="auto" w:fill="FFFFFF"/>
      <w:spacing w:before="1260" w:line="269" w:lineRule="exact"/>
      <w:jc w:val="both"/>
    </w:pPr>
    <w:rPr>
      <w:b/>
      <w:bCs/>
      <w:sz w:val="22"/>
      <w:szCs w:val="22"/>
    </w:rPr>
  </w:style>
  <w:style w:type="paragraph" w:customStyle="1" w:styleId="Bodytext4">
    <w:name w:val="Body text|4"/>
    <w:basedOn w:val="Standard"/>
    <w:pPr>
      <w:shd w:val="clear" w:color="auto" w:fill="FFFFFF"/>
      <w:spacing w:before="40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5">
    <w:name w:val="Body text|5"/>
    <w:basedOn w:val="Standard"/>
    <w:pPr>
      <w:shd w:val="clear" w:color="auto" w:fill="FFFFFF"/>
      <w:spacing w:before="120" w:after="120" w:line="244" w:lineRule="exact"/>
    </w:pPr>
    <w:rPr>
      <w:b/>
      <w:bCs/>
      <w:sz w:val="22"/>
      <w:szCs w:val="22"/>
    </w:rPr>
  </w:style>
  <w:style w:type="paragraph" w:customStyle="1" w:styleId="Intestazioneepidipagina">
    <w:name w:val="Intestazione e piè di pagina"/>
    <w:basedOn w:val="Standard"/>
  </w:style>
  <w:style w:type="paragraph" w:customStyle="1" w:styleId="HeaderandFooter">
    <w:name w:val="Header and Footer"/>
    <w:basedOn w:val="Standard"/>
  </w:style>
  <w:style w:type="paragraph" w:styleId="Encabezado">
    <w:name w:val="header"/>
    <w:basedOn w:val="Standard"/>
    <w:pPr>
      <w:tabs>
        <w:tab w:val="center" w:pos="4513"/>
        <w:tab w:val="right" w:pos="9026"/>
      </w:tabs>
    </w:pPr>
  </w:style>
  <w:style w:type="paragraph" w:styleId="Piedepgina">
    <w:name w:val="footer"/>
    <w:basedOn w:val="Standard"/>
    <w:link w:val="PiedepginaCar"/>
    <w:pPr>
      <w:tabs>
        <w:tab w:val="center" w:pos="4513"/>
        <w:tab w:val="right" w:pos="9026"/>
      </w:tabs>
    </w:pPr>
  </w:style>
  <w:style w:type="paragraph" w:customStyle="1" w:styleId="Framecontents">
    <w:name w:val="Frame contents"/>
    <w:basedOn w:val="Standard"/>
  </w:style>
  <w:style w:type="paragraph" w:customStyle="1" w:styleId="Contenutocornice">
    <w:name w:val="Contenuto cornice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Heading110">
    <w:name w:val="Heading #1|1_"/>
    <w:basedOn w:val="Fuentedeprrafopredeter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36"/>
      <w:szCs w:val="36"/>
      <w:u w:val="none"/>
    </w:rPr>
  </w:style>
  <w:style w:type="character" w:customStyle="1" w:styleId="Bodytext30">
    <w:name w:val="Body text|3_"/>
    <w:basedOn w:val="Fuentedeprrafopredeter"/>
    <w:rPr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Bodytext2">
    <w:name w:val="Body text|2_"/>
    <w:basedOn w:val="Fuentedeprrafopredeter"/>
    <w:rPr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Bodytext20">
    <w:name w:val="Body text|2"/>
    <w:basedOn w:val="Bodytex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22222"/>
      <w:spacing w:val="0"/>
      <w:w w:val="100"/>
      <w:sz w:val="22"/>
      <w:szCs w:val="22"/>
      <w:u w:val="none"/>
      <w:lang w:val="it-IT" w:eastAsia="en-US" w:bidi="en-US"/>
    </w:rPr>
  </w:style>
  <w:style w:type="character" w:customStyle="1" w:styleId="Bodytext2Bold">
    <w:name w:val="Body text|2 + Bold"/>
    <w:basedOn w:val="Bodytext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it-IT" w:eastAsia="en-US" w:bidi="en-US"/>
    </w:rPr>
  </w:style>
  <w:style w:type="character" w:customStyle="1" w:styleId="Bodytext26pt">
    <w:name w:val="Body text|2 + 6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22222"/>
      <w:spacing w:val="0"/>
      <w:w w:val="100"/>
      <w:sz w:val="12"/>
      <w:szCs w:val="12"/>
      <w:u w:val="none"/>
      <w:lang w:val="it-IT" w:eastAsia="en-US" w:bidi="en-US"/>
    </w:rPr>
  </w:style>
  <w:style w:type="character" w:customStyle="1" w:styleId="Bodytext3NotBold">
    <w:name w:val="Body text|3 + Not Bold"/>
    <w:basedOn w:val="Bodytext3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it-IT" w:eastAsia="en-US" w:bidi="en-US"/>
    </w:rPr>
  </w:style>
  <w:style w:type="character" w:customStyle="1" w:styleId="Bodytext40">
    <w:name w:val="Body text|4_"/>
    <w:basedOn w:val="Fuentedeprrafopredeter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sz w:val="18"/>
      <w:szCs w:val="18"/>
      <w:u w:val="none"/>
    </w:rPr>
  </w:style>
  <w:style w:type="character" w:customStyle="1" w:styleId="Bodytext50">
    <w:name w:val="Body text|5_"/>
    <w:basedOn w:val="Fuentedeprrafopredeter"/>
    <w:rPr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HeaderChar">
    <w:name w:val="Header Char"/>
    <w:basedOn w:val="Fuentedeprrafopredeter"/>
    <w:rPr>
      <w:color w:val="000000"/>
    </w:rPr>
  </w:style>
  <w:style w:type="character" w:customStyle="1" w:styleId="FooterChar">
    <w:name w:val="Footer Char"/>
    <w:basedOn w:val="Fuentedeprrafopredeter"/>
    <w:rPr>
      <w:color w:val="000000"/>
    </w:rPr>
  </w:style>
  <w:style w:type="character" w:customStyle="1" w:styleId="Internetlink">
    <w:name w:val="Internet link"/>
    <w:basedOn w:val="Fuentedeprrafopredeter"/>
    <w:rPr>
      <w:color w:val="0563C1"/>
      <w:u w:val="single"/>
    </w:rPr>
  </w:style>
  <w:style w:type="character" w:customStyle="1" w:styleId="CollegamentoInternet">
    <w:name w:val="Collegamento Internet"/>
    <w:rPr>
      <w:color w:val="000080"/>
      <w:u w:val="single"/>
      <w:lang/>
    </w:rPr>
  </w:style>
  <w:style w:type="character" w:customStyle="1" w:styleId="ListLabel1">
    <w:name w:val="ListLabel 1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en-US" w:eastAsia="en-US" w:bidi="en-US"/>
    </w:rPr>
  </w:style>
  <w:style w:type="character" w:customStyle="1" w:styleId="ListLabel2">
    <w:name w:val="ListLabel 2"/>
    <w:rPr>
      <w:i/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NoList">
    <w:name w:val="No List"/>
    <w:basedOn w:val="Sinlista"/>
    <w:pPr>
      <w:numPr>
        <w:numId w:val="1"/>
      </w:numPr>
    </w:pPr>
  </w:style>
  <w:style w:type="numbering" w:customStyle="1" w:styleId="WWNum1">
    <w:name w:val="WWNum1"/>
    <w:basedOn w:val="Sinlista"/>
    <w:pPr>
      <w:numPr>
        <w:numId w:val="2"/>
      </w:numPr>
    </w:pPr>
  </w:style>
  <w:style w:type="numbering" w:customStyle="1" w:styleId="WWNum2">
    <w:name w:val="WWNum2"/>
    <w:basedOn w:val="Sinlista"/>
    <w:pPr>
      <w:numPr>
        <w:numId w:val="3"/>
      </w:numPr>
    </w:pPr>
  </w:style>
  <w:style w:type="character" w:customStyle="1" w:styleId="PiedepginaCar">
    <w:name w:val="Pie de página Car"/>
    <w:basedOn w:val="Fuentedeprrafopredeter"/>
    <w:link w:val="Piedepgina"/>
    <w:rsid w:val="00471756"/>
    <w:rPr>
      <w:color w:val="000000"/>
    </w:rPr>
  </w:style>
  <w:style w:type="character" w:customStyle="1" w:styleId="il">
    <w:name w:val="il"/>
    <w:basedOn w:val="Fuentedeprrafopredeter"/>
    <w:rsid w:val="00471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1355</Words>
  <Characters>7456</Characters>
  <Application>Microsoft Office Word</Application>
  <DocSecurity>0</DocSecurity>
  <Lines>62</Lines>
  <Paragraphs>17</Paragraphs>
  <ScaleCrop>false</ScaleCrop>
  <Company/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Documenti di lavoro - Gruppo 4 - Suolo, agricoltura e silvicoltura</dc:title>
  <dc:subject>Documento di informazione </dc:subject>
  <dc:creator>Andrew Jones</dc:creator>
  <cp:keywords>EESC-2019-05163-03-00-INFO-TRA-EN</cp:keywords>
  <dc:description>Rapporteur:  - Original language: EN - Date of document: 05/12/2019 - Date of meeting:  - External documents:  - Administrator: MME LAHOUSSE Chloé</dc:description>
  <cp:lastModifiedBy>Clara Maria Iglesias</cp:lastModifiedBy>
  <cp:revision>2</cp:revision>
  <dcterms:created xsi:type="dcterms:W3CDTF">2025-10-02T12:11:00Z</dcterms:created>
  <dcterms:modified xsi:type="dcterms:W3CDTF">2025-10-02T12:11:00Z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AvailableTranslations">
    <vt:lpwstr>152;#MK|34ce48bb-063e-4413-a932-50853dc71c5c;#153;#SR|7f3a1d13-b985-4bfd-981e-afe31377edff;#21;#IT|0774613c-01ed-4e5d-a25d-11d2388de825;#162;#TR|6e4ededd-04c4-4fa0-94e0-1028050302d5;#4;#EN|f2175f21-25d7-44a3-96da-d6a61b075e1b;#17;#ES|e7a6b05b-ae16-40c8-add9-68b64b03aeba;#246;#ME|925b3da5-5ac0-4b3c-928c-6ef66a5c9b3c;#154;#SQ|5ac17240-8d11-45ec-9893-659b209d7a00</vt:lpwstr>
  </property>
  <property fmtid="{D5CDD505-2E9C-101B-9397-08002B2CF9AE}" pid="4" name="AvailableTranslations_0">
    <vt:lpwstr>MK|34ce48bb-063e-4413-a932-50853dc71c5c;SR|7f3a1d13-b985-4bfd-981e-afe31377edff;TR|6e4ededd-04c4-4fa0-94e0-1028050302d5;EN|f2175f21-25d7-44a3-96da-d6a61b075e1b;ES|e7a6b05b-ae16-40c8-add9-68b64b03aeba;ME|925b3da5-5ac0-4b3c-928c-6ef66a5c9b3c;SQ|5ac17240-8d11-45ec-9893-659b209d7a00</vt:lpwstr>
  </property>
  <property fmtid="{D5CDD505-2E9C-101B-9397-08002B2CF9AE}" pid="5" name="Company">
    <vt:lpwstr>EESC-ECOR</vt:lpwstr>
  </property>
  <property fmtid="{D5CDD505-2E9C-101B-9397-08002B2CF9AE}" pid="6" name="Confidentiality">
    <vt:lpwstr>5;#Unrestricted|826e22d7-d029-4ec0-a450-0c28ff673572</vt:lpwstr>
  </property>
  <property fmtid="{D5CDD505-2E9C-101B-9397-08002B2CF9AE}" pid="7" name="Confidentiality_0">
    <vt:lpwstr>Unrestricted|826e22d7-d029-4ec0-a450-0c28ff673572</vt:lpwstr>
  </property>
  <property fmtid="{D5CDD505-2E9C-101B-9397-08002B2CF9AE}" pid="8" name="ContentTypeId">
    <vt:lpwstr>0x010100EA97B91038054C99906057A708A1480A004A07B7D2C585754B97D3BEF52E07EE2D</vt:lpwstr>
  </property>
  <property fmtid="{D5CDD505-2E9C-101B-9397-08002B2CF9AE}" pid="9" name="DocSecurity">
    <vt:r8>0</vt:r8>
  </property>
  <property fmtid="{D5CDD505-2E9C-101B-9397-08002B2CF9AE}" pid="10" name="DocumentLanguage">
    <vt:lpwstr>21;#IT|0774613c-01ed-4e5d-a25d-11d2388de825</vt:lpwstr>
  </property>
  <property fmtid="{D5CDD505-2E9C-101B-9397-08002B2CF9AE}" pid="11" name="DocumentNumber">
    <vt:r8>5163</vt:r8>
  </property>
  <property fmtid="{D5CDD505-2E9C-101B-9397-08002B2CF9AE}" pid="12" name="DocumentPart">
    <vt:r8>3</vt:r8>
  </property>
  <property fmtid="{D5CDD505-2E9C-101B-9397-08002B2CF9AE}" pid="13" name="DocumentSource">
    <vt:lpwstr>1;#EESC|422833ec-8d7e-4e65-8e4e-8bed07ffb729</vt:lpwstr>
  </property>
  <property fmtid="{D5CDD505-2E9C-101B-9397-08002B2CF9AE}" pid="14" name="DocumentSource_0">
    <vt:lpwstr>EESC|422833ec-8d7e-4e65-8e4e-8bed07ffb729</vt:lpwstr>
  </property>
  <property fmtid="{D5CDD505-2E9C-101B-9397-08002B2CF9AE}" pid="15" name="DocumentStatus">
    <vt:lpwstr>2;#TRA|150d2a88-1431-44e6-a8ca-0bb753ab8672</vt:lpwstr>
  </property>
  <property fmtid="{D5CDD505-2E9C-101B-9397-08002B2CF9AE}" pid="16" name="DocumentStatus_0">
    <vt:lpwstr>TRA|150d2a88-1431-44e6-a8ca-0bb753ab8672</vt:lpwstr>
  </property>
  <property fmtid="{D5CDD505-2E9C-101B-9397-08002B2CF9AE}" pid="17" name="DocumentType">
    <vt:lpwstr>11;#INFO|d9136e7c-93a9-4c42-9d28-92b61e85f80c</vt:lpwstr>
  </property>
  <property fmtid="{D5CDD505-2E9C-101B-9397-08002B2CF9AE}" pid="18" name="DocumentType_0">
    <vt:lpwstr>INFO|d9136e7c-93a9-4c42-9d28-92b61e85f80c</vt:lpwstr>
  </property>
  <property fmtid="{D5CDD505-2E9C-101B-9397-08002B2CF9AE}" pid="19" name="DocumentVersion">
    <vt:r8>0</vt:r8>
  </property>
  <property fmtid="{D5CDD505-2E9C-101B-9397-08002B2CF9AE}" pid="20" name="DocumentYear">
    <vt:r8>2019</vt:r8>
  </property>
  <property fmtid="{D5CDD505-2E9C-101B-9397-08002B2CF9AE}" pid="21" name="DossierName">
    <vt:lpwstr/>
  </property>
  <property fmtid="{D5CDD505-2E9C-101B-9397-08002B2CF9AE}" pid="22" name="DossierName_0">
    <vt:lpwstr/>
  </property>
  <property fmtid="{D5CDD505-2E9C-101B-9397-08002B2CF9AE}" pid="23" name="FicheNumber">
    <vt:r8>11386</vt:r8>
  </property>
  <property fmtid="{D5CDD505-2E9C-101B-9397-08002B2CF9AE}" pid="24" name="FicheYear">
    <vt:r8>2019</vt:r8>
  </property>
  <property fmtid="{D5CDD505-2E9C-101B-9397-08002B2CF9AE}" pid="25" name="HyperlinksChanged">
    <vt:bool>false</vt:bool>
  </property>
  <property fmtid="{D5CDD505-2E9C-101B-9397-08002B2CF9AE}" pid="26" name="LinksUpToDate">
    <vt:bool>false</vt:bool>
  </property>
  <property fmtid="{D5CDD505-2E9C-101B-9397-08002B2CF9AE}" pid="27" name="MeetingName">
    <vt:lpwstr/>
  </property>
  <property fmtid="{D5CDD505-2E9C-101B-9397-08002B2CF9AE}" pid="28" name="MeetingName_0">
    <vt:lpwstr/>
  </property>
  <property fmtid="{D5CDD505-2E9C-101B-9397-08002B2CF9AE}" pid="29" name="OriginalLanguage">
    <vt:lpwstr>4;#EN|f2175f21-25d7-44a3-96da-d6a61b075e1b</vt:lpwstr>
  </property>
  <property fmtid="{D5CDD505-2E9C-101B-9397-08002B2CF9AE}" pid="30" name="OriginalLanguage_0">
    <vt:lpwstr>EN|f2175f21-25d7-44a3-96da-d6a61b075e1b</vt:lpwstr>
  </property>
  <property fmtid="{D5CDD505-2E9C-101B-9397-08002B2CF9AE}" pid="31" name="Pref_Date">
    <vt:lpwstr>15/11/2019, 14/11/2019</vt:lpwstr>
  </property>
  <property fmtid="{D5CDD505-2E9C-101B-9397-08002B2CF9AE}" pid="32" name="Pref_FileName">
    <vt:lpwstr>EESC-2019-05163-03-00-INFO-TRA-EN-CRR.docx, EESC-2019-05163-03-00-INFO-CRR-EN.docx</vt:lpwstr>
  </property>
  <property fmtid="{D5CDD505-2E9C-101B-9397-08002B2CF9AE}" pid="33" name="Pref_Time">
    <vt:lpwstr>10:07:20, 17:47:38</vt:lpwstr>
  </property>
  <property fmtid="{D5CDD505-2E9C-101B-9397-08002B2CF9AE}" pid="34" name="Pref_User">
    <vt:lpwstr>enied, htoo</vt:lpwstr>
  </property>
  <property fmtid="{D5CDD505-2E9C-101B-9397-08002B2CF9AE}" pid="35" name="Pref_formatted">
    <vt:bool>true</vt:bool>
  </property>
  <property fmtid="{D5CDD505-2E9C-101B-9397-08002B2CF9AE}" pid="36" name="RequestingService">
    <vt:lpwstr>Visites / Publications</vt:lpwstr>
  </property>
  <property fmtid="{D5CDD505-2E9C-101B-9397-08002B2CF9AE}" pid="37" name="ScaleCrop">
    <vt:bool>false</vt:bool>
  </property>
  <property fmtid="{D5CDD505-2E9C-101B-9397-08002B2CF9AE}" pid="38" name="ShareDoc">
    <vt:bool>false</vt:bool>
  </property>
  <property fmtid="{D5CDD505-2E9C-101B-9397-08002B2CF9AE}" pid="39" name="TaxCatchAll">
    <vt:lpwstr>152;#MK|34ce48bb-063e-4413-a932-50853dc71c5c;#11;#INFO|d9136e7c-93a9-4c42-9d28-92b61e85f80c;#154;#SQ|5ac17240-8d11-45ec-9893-659b209d7a00;#162;#TR|6e4ededd-04c4-4fa0-94e0-1028050302d5;#246;#ME|925b3da5-5ac0-4b3c-928c-6ef66a5c9b3c;#7;#Final|ea5e6674-7b27-4bac-b091-73adbb394efe;#17;#ES|e7a6b05b-ae16-40c8-add9-68b64b03aeba;#5;#Unrestricted|826e22d7-d029-4ec0-a450-0c28ff673572;#4;#EN|f2175f21-25d7-44a3-96da-d6a61b075e1b;#2;#TRA|150d2a88-1431-44e6-a8ca-0bb753ab8672;#1;#EESC|422833ec-8d7e-4e65-8e4e-8bed07ffb729;#153;#SR|7f3a1d13-b985-4bfd-981e-afe31377edff</vt:lpwstr>
  </property>
  <property fmtid="{D5CDD505-2E9C-101B-9397-08002B2CF9AE}" pid="40" name="VersionStatus">
    <vt:lpwstr>7;#Final|ea5e6674-7b27-4bac-b091-73adbb394efe</vt:lpwstr>
  </property>
  <property fmtid="{D5CDD505-2E9C-101B-9397-08002B2CF9AE}" pid="41" name="VersionStatus_0">
    <vt:lpwstr>Final|ea5e6674-7b27-4bac-b091-73adbb394efe</vt:lpwstr>
  </property>
  <property fmtid="{D5CDD505-2E9C-101B-9397-08002B2CF9AE}" pid="42" name="_dlc_DocIdItemGuid">
    <vt:lpwstr>94186ca7-adc9-411a-a306-425f3b3b3614</vt:lpwstr>
  </property>
  <property fmtid="{D5CDD505-2E9C-101B-9397-08002B2CF9AE}" pid="43" name="_docset_NoMedatataSyncRequired">
    <vt:lpwstr>False</vt:lpwstr>
  </property>
</Properties>
</file>